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06D09" w14:textId="77777777" w:rsidR="00116318" w:rsidRPr="00324B7E" w:rsidRDefault="00116318" w:rsidP="00324B7E">
      <w:pPr>
        <w:jc w:val="both"/>
        <w:rPr>
          <w:rFonts w:ascii="Arial" w:hAnsi="Arial" w:cs="Arial"/>
        </w:rPr>
      </w:pPr>
    </w:p>
    <w:p w14:paraId="0E9904D3" w14:textId="77777777" w:rsidR="00441FF6" w:rsidRPr="006E5CFF" w:rsidRDefault="00441FF6" w:rsidP="00441FF6">
      <w:pPr>
        <w:pStyle w:val="ListParagraph"/>
        <w:numPr>
          <w:ilvl w:val="0"/>
          <w:numId w:val="5"/>
        </w:numPr>
        <w:ind w:left="426"/>
        <w:jc w:val="both"/>
        <w:rPr>
          <w:rFonts w:ascii="Arial" w:hAnsi="Arial" w:cs="Arial"/>
          <w:b/>
        </w:rPr>
      </w:pPr>
      <w:r w:rsidRPr="006E5CFF">
        <w:rPr>
          <w:rFonts w:ascii="Arial" w:hAnsi="Arial" w:cs="Arial"/>
          <w:b/>
        </w:rPr>
        <w:t>Amaç</w:t>
      </w:r>
    </w:p>
    <w:p w14:paraId="1F5AB8A5" w14:textId="7DDEAB8B" w:rsidR="00441FF6" w:rsidRPr="006E5CFF" w:rsidRDefault="00441FF6" w:rsidP="00441FF6">
      <w:pPr>
        <w:ind w:left="66"/>
        <w:jc w:val="both"/>
        <w:rPr>
          <w:rFonts w:ascii="Arial" w:hAnsi="Arial" w:cs="Arial"/>
        </w:rPr>
      </w:pPr>
      <w:r w:rsidRPr="006E5CFF">
        <w:rPr>
          <w:rFonts w:ascii="Arial" w:hAnsi="Arial" w:cs="Arial"/>
        </w:rPr>
        <w:t xml:space="preserve">Bu politika metni ile </w:t>
      </w:r>
      <w:proofErr w:type="spellStart"/>
      <w:r w:rsidRPr="006E5CFF">
        <w:rPr>
          <w:rFonts w:ascii="Arial" w:hAnsi="Arial" w:cs="Arial"/>
        </w:rPr>
        <w:t>Ento</w:t>
      </w:r>
      <w:proofErr w:type="spellEnd"/>
      <w:r w:rsidRPr="006E5CFF">
        <w:rPr>
          <w:rFonts w:ascii="Arial" w:hAnsi="Arial" w:cs="Arial"/>
        </w:rPr>
        <w:t xml:space="preserve"> Maden Global A.Ş. (</w:t>
      </w:r>
      <w:proofErr w:type="spellStart"/>
      <w:r w:rsidRPr="006E5CFF">
        <w:rPr>
          <w:rFonts w:ascii="Arial" w:hAnsi="Arial" w:cs="Arial"/>
        </w:rPr>
        <w:t>Ento</w:t>
      </w:r>
      <w:proofErr w:type="spellEnd"/>
      <w:r w:rsidRPr="006E5CFF">
        <w:rPr>
          <w:rFonts w:ascii="Arial" w:hAnsi="Arial" w:cs="Arial"/>
        </w:rPr>
        <w:t xml:space="preserve">) rüşvet ve yolsuzluk konusundaki taahhütlerinin ve bu konudaki yaklaşımının açık ve net bir şekilde ortaya konulması ve şirket imajının korunması amaçlanmaktadır. Etik Kurallarının bütünleyici bir parçası olan bu politika ile </w:t>
      </w:r>
      <w:r>
        <w:rPr>
          <w:rFonts w:ascii="Arial" w:hAnsi="Arial" w:cs="Arial"/>
        </w:rPr>
        <w:t xml:space="preserve">zorla </w:t>
      </w:r>
      <w:proofErr w:type="spellStart"/>
      <w:r>
        <w:rPr>
          <w:rFonts w:ascii="Arial" w:hAnsi="Arial" w:cs="Arial"/>
        </w:rPr>
        <w:t>çalıştımanın</w:t>
      </w:r>
      <w:proofErr w:type="spellEnd"/>
      <w:r w:rsidRPr="006E5CFF">
        <w:rPr>
          <w:rFonts w:ascii="Arial" w:hAnsi="Arial" w:cs="Arial"/>
        </w:rPr>
        <w:t xml:space="preserve"> tüm </w:t>
      </w:r>
      <w:proofErr w:type="spellStart"/>
      <w:r w:rsidRPr="006E5CFF">
        <w:rPr>
          <w:rFonts w:ascii="Arial" w:hAnsi="Arial" w:cs="Arial"/>
        </w:rPr>
        <w:t>Ento</w:t>
      </w:r>
      <w:proofErr w:type="spellEnd"/>
      <w:r w:rsidRPr="006E5CFF">
        <w:rPr>
          <w:rFonts w:ascii="Arial" w:hAnsi="Arial" w:cs="Arial"/>
        </w:rPr>
        <w:t xml:space="preserve"> faaliyetlerinde önlenmesi için gerekli bilgilendirilmenin yapılması, bu konudaki sorumlulukların ve kuralların belirlenmesi hedeflenmiştir.</w:t>
      </w:r>
    </w:p>
    <w:p w14:paraId="766A48F0" w14:textId="77777777" w:rsidR="00441FF6" w:rsidRPr="006E5CFF" w:rsidRDefault="00441FF6" w:rsidP="00441FF6">
      <w:pPr>
        <w:pStyle w:val="ListParagraph"/>
        <w:numPr>
          <w:ilvl w:val="0"/>
          <w:numId w:val="5"/>
        </w:numPr>
        <w:ind w:left="426"/>
        <w:jc w:val="both"/>
        <w:rPr>
          <w:rFonts w:ascii="Arial" w:hAnsi="Arial" w:cs="Arial"/>
          <w:b/>
        </w:rPr>
      </w:pPr>
      <w:r w:rsidRPr="006E5CFF">
        <w:rPr>
          <w:rFonts w:ascii="Arial" w:hAnsi="Arial" w:cs="Arial"/>
          <w:b/>
        </w:rPr>
        <w:t>Kapsam</w:t>
      </w:r>
    </w:p>
    <w:p w14:paraId="667D0576" w14:textId="0F1457BC" w:rsidR="00441FF6" w:rsidRPr="006E5CFF" w:rsidRDefault="00441FF6" w:rsidP="00441FF6">
      <w:pPr>
        <w:ind w:left="66"/>
        <w:jc w:val="both"/>
        <w:rPr>
          <w:rFonts w:ascii="Arial" w:hAnsi="Arial" w:cs="Arial"/>
        </w:rPr>
      </w:pPr>
      <w:r>
        <w:rPr>
          <w:rFonts w:ascii="Arial" w:hAnsi="Arial" w:cs="Arial"/>
        </w:rPr>
        <w:t>Zorla Çalıştırmanın Engellenmesi</w:t>
      </w:r>
      <w:r w:rsidRPr="006E5CFF">
        <w:rPr>
          <w:rFonts w:ascii="Arial" w:hAnsi="Arial" w:cs="Arial"/>
        </w:rPr>
        <w:t xml:space="preserve"> Politikası sadece </w:t>
      </w:r>
      <w:proofErr w:type="spellStart"/>
      <w:r w:rsidRPr="006E5CFF">
        <w:rPr>
          <w:rFonts w:ascii="Arial" w:hAnsi="Arial" w:cs="Arial"/>
        </w:rPr>
        <w:t>Ento</w:t>
      </w:r>
      <w:proofErr w:type="spellEnd"/>
      <w:r w:rsidRPr="006E5CFF">
        <w:rPr>
          <w:rFonts w:ascii="Arial" w:hAnsi="Arial" w:cs="Arial"/>
        </w:rPr>
        <w:t xml:space="preserve"> çalışanları değil, </w:t>
      </w:r>
      <w:proofErr w:type="spellStart"/>
      <w:r w:rsidRPr="006E5CFF">
        <w:rPr>
          <w:rFonts w:ascii="Arial" w:hAnsi="Arial" w:cs="Arial"/>
        </w:rPr>
        <w:t>Ento</w:t>
      </w:r>
      <w:proofErr w:type="spellEnd"/>
      <w:r w:rsidRPr="006E5CFF">
        <w:rPr>
          <w:rFonts w:ascii="Arial" w:hAnsi="Arial" w:cs="Arial"/>
        </w:rPr>
        <w:t xml:space="preserve"> adına hareket eden veya </w:t>
      </w:r>
      <w:proofErr w:type="spellStart"/>
      <w:r w:rsidRPr="006E5CFF">
        <w:rPr>
          <w:rFonts w:ascii="Arial" w:hAnsi="Arial" w:cs="Arial"/>
        </w:rPr>
        <w:t>Ento</w:t>
      </w:r>
      <w:proofErr w:type="spellEnd"/>
      <w:r w:rsidRPr="006E5CFF">
        <w:rPr>
          <w:rFonts w:ascii="Arial" w:hAnsi="Arial" w:cs="Arial"/>
        </w:rPr>
        <w:t>’ ya hizmet veren tüm iş ortaklarını da kapsamaktadır.</w:t>
      </w:r>
    </w:p>
    <w:p w14:paraId="65477DD2" w14:textId="77777777" w:rsidR="00441FF6" w:rsidRPr="006E5CFF" w:rsidRDefault="00441FF6" w:rsidP="00441FF6">
      <w:pPr>
        <w:ind w:left="66"/>
        <w:jc w:val="both"/>
        <w:rPr>
          <w:rFonts w:ascii="Arial" w:hAnsi="Arial" w:cs="Arial"/>
        </w:rPr>
      </w:pPr>
      <w:r w:rsidRPr="006E5CFF">
        <w:rPr>
          <w:rFonts w:ascii="Arial" w:hAnsi="Arial" w:cs="Arial"/>
        </w:rPr>
        <w:t>Bu doğrultuda;</w:t>
      </w:r>
    </w:p>
    <w:p w14:paraId="02B2C818" w14:textId="77777777" w:rsidR="00441FF6" w:rsidRPr="006E5CFF" w:rsidRDefault="00441FF6" w:rsidP="00441FF6">
      <w:pPr>
        <w:pStyle w:val="ListParagraph"/>
        <w:numPr>
          <w:ilvl w:val="0"/>
          <w:numId w:val="6"/>
        </w:numPr>
        <w:jc w:val="both"/>
        <w:rPr>
          <w:rFonts w:ascii="Arial" w:hAnsi="Arial" w:cs="Arial"/>
        </w:rPr>
      </w:pPr>
      <w:r w:rsidRPr="006E5CFF">
        <w:rPr>
          <w:rFonts w:ascii="Arial" w:hAnsi="Arial" w:cs="Arial"/>
        </w:rPr>
        <w:t xml:space="preserve">Tüm </w:t>
      </w:r>
      <w:proofErr w:type="spellStart"/>
      <w:r w:rsidRPr="006E5CFF">
        <w:rPr>
          <w:rFonts w:ascii="Arial" w:hAnsi="Arial" w:cs="Arial"/>
        </w:rPr>
        <w:t>Ento</w:t>
      </w:r>
      <w:proofErr w:type="spellEnd"/>
      <w:r w:rsidRPr="006E5CFF">
        <w:rPr>
          <w:rFonts w:ascii="Arial" w:hAnsi="Arial" w:cs="Arial"/>
        </w:rPr>
        <w:t xml:space="preserve"> çalışanları,</w:t>
      </w:r>
    </w:p>
    <w:p w14:paraId="1FB2FC4A" w14:textId="77777777" w:rsidR="00441FF6" w:rsidRPr="006E5CFF" w:rsidRDefault="00441FF6" w:rsidP="00441FF6">
      <w:pPr>
        <w:pStyle w:val="ListParagraph"/>
        <w:numPr>
          <w:ilvl w:val="0"/>
          <w:numId w:val="6"/>
        </w:numPr>
        <w:jc w:val="both"/>
        <w:rPr>
          <w:rFonts w:ascii="Arial" w:hAnsi="Arial" w:cs="Arial"/>
        </w:rPr>
      </w:pPr>
      <w:r w:rsidRPr="006E5CFF">
        <w:rPr>
          <w:rFonts w:ascii="Arial" w:hAnsi="Arial" w:cs="Arial"/>
        </w:rPr>
        <w:t>Danışmanlık, avukatlık ve müşavirlik gibi destek hizmeti alınan şirketler ve çalışanları,</w:t>
      </w:r>
    </w:p>
    <w:p w14:paraId="308565DF" w14:textId="77777777" w:rsidR="00441FF6" w:rsidRPr="006E5CFF" w:rsidRDefault="00441FF6" w:rsidP="00441FF6">
      <w:pPr>
        <w:pStyle w:val="ListParagraph"/>
        <w:numPr>
          <w:ilvl w:val="0"/>
          <w:numId w:val="6"/>
        </w:numPr>
        <w:jc w:val="both"/>
        <w:rPr>
          <w:rFonts w:ascii="Arial" w:hAnsi="Arial" w:cs="Arial"/>
        </w:rPr>
      </w:pPr>
      <w:r w:rsidRPr="006E5CFF">
        <w:rPr>
          <w:rFonts w:ascii="Arial" w:hAnsi="Arial" w:cs="Arial"/>
        </w:rPr>
        <w:t>Dış hizmet alınan alt İşveren şirketler ve çalışanları,</w:t>
      </w:r>
    </w:p>
    <w:p w14:paraId="08A1F554" w14:textId="77777777" w:rsidR="00441FF6" w:rsidRPr="006E5CFF" w:rsidRDefault="00441FF6" w:rsidP="00441FF6">
      <w:pPr>
        <w:pStyle w:val="ListParagraph"/>
        <w:numPr>
          <w:ilvl w:val="0"/>
          <w:numId w:val="6"/>
        </w:numPr>
        <w:jc w:val="both"/>
        <w:rPr>
          <w:rFonts w:ascii="Arial" w:hAnsi="Arial" w:cs="Arial"/>
        </w:rPr>
      </w:pPr>
      <w:r w:rsidRPr="006E5CFF">
        <w:rPr>
          <w:rFonts w:ascii="Arial" w:hAnsi="Arial" w:cs="Arial"/>
        </w:rPr>
        <w:t xml:space="preserve">Temsilci, distribütör, acente gibi </w:t>
      </w:r>
      <w:proofErr w:type="spellStart"/>
      <w:r w:rsidRPr="006E5CFF">
        <w:rPr>
          <w:rFonts w:ascii="Arial" w:hAnsi="Arial" w:cs="Arial"/>
        </w:rPr>
        <w:t>Ento</w:t>
      </w:r>
      <w:proofErr w:type="spellEnd"/>
      <w:r w:rsidRPr="006E5CFF">
        <w:rPr>
          <w:rFonts w:ascii="Arial" w:hAnsi="Arial" w:cs="Arial"/>
        </w:rPr>
        <w:t xml:space="preserve"> adına doğrudan veya dolaylı olarak görev yapan kişiler ve kuruluşlar</w:t>
      </w:r>
    </w:p>
    <w:p w14:paraId="484D5EC6" w14:textId="77777777" w:rsidR="00441FF6" w:rsidRPr="006E5CFF" w:rsidRDefault="00441FF6" w:rsidP="00441FF6">
      <w:pPr>
        <w:ind w:left="66"/>
        <w:jc w:val="both"/>
        <w:rPr>
          <w:rFonts w:ascii="Arial" w:hAnsi="Arial" w:cs="Arial"/>
        </w:rPr>
      </w:pPr>
      <w:r w:rsidRPr="006E5CFF">
        <w:rPr>
          <w:rFonts w:ascii="Arial" w:hAnsi="Arial" w:cs="Arial"/>
        </w:rPr>
        <w:t>Bu politikanın kapsamına girmektedir.</w:t>
      </w:r>
    </w:p>
    <w:p w14:paraId="5B39A1CD" w14:textId="77777777" w:rsidR="00441FF6" w:rsidRPr="006E5CFF" w:rsidRDefault="00441FF6" w:rsidP="00441FF6">
      <w:pPr>
        <w:ind w:left="66"/>
        <w:jc w:val="both"/>
        <w:rPr>
          <w:rFonts w:ascii="Arial" w:hAnsi="Arial" w:cs="Arial"/>
        </w:rPr>
      </w:pPr>
      <w:r w:rsidRPr="006E5CFF">
        <w:rPr>
          <w:rFonts w:ascii="Arial" w:hAnsi="Arial" w:cs="Arial"/>
        </w:rPr>
        <w:t xml:space="preserve">Bu politika metninde bahsedilen tüm uygulamaların veya kısıtlamaların yukarıda bahsedilen kişi ve kuruluşlar için de geçerli olduğunun anlaşılması oldukça önemlidir. Bu kişi ve kuruluşların yasal veya etik olmayan herhangi bir davranışta bulunmaları durumunda </w:t>
      </w:r>
      <w:proofErr w:type="spellStart"/>
      <w:r w:rsidRPr="006E5CFF">
        <w:rPr>
          <w:rFonts w:ascii="Arial" w:hAnsi="Arial" w:cs="Arial"/>
        </w:rPr>
        <w:t>Ento’nun</w:t>
      </w:r>
      <w:proofErr w:type="spellEnd"/>
      <w:r w:rsidRPr="006E5CFF">
        <w:rPr>
          <w:rFonts w:ascii="Arial" w:hAnsi="Arial" w:cs="Arial"/>
        </w:rPr>
        <w:t xml:space="preserve"> da bu durumdan sorumlu tutulabileceği unutulmamalıdır. Bu nedenle çalışılacak olan iş ortakları belirlenirken Etik Kuralları ilgili yönetmelik ve prosedürler ile bu politika metni dikkate alınarak, iş ortaklarının da bu kurallara uygun hareket etmesi sağlanmalıdır.</w:t>
      </w:r>
    </w:p>
    <w:p w14:paraId="7B381193" w14:textId="0C964D75" w:rsidR="005C7214" w:rsidRPr="00324B7E" w:rsidRDefault="005C7214" w:rsidP="00FC65C2">
      <w:pPr>
        <w:pStyle w:val="ListParagraph"/>
        <w:numPr>
          <w:ilvl w:val="0"/>
          <w:numId w:val="5"/>
        </w:numPr>
        <w:ind w:left="426"/>
        <w:jc w:val="both"/>
        <w:rPr>
          <w:rFonts w:ascii="Arial" w:hAnsi="Arial" w:cs="Arial"/>
          <w:b/>
        </w:rPr>
      </w:pPr>
      <w:r w:rsidRPr="00324B7E">
        <w:rPr>
          <w:rFonts w:ascii="Arial" w:hAnsi="Arial" w:cs="Arial"/>
          <w:b/>
        </w:rPr>
        <w:t>Tanımlar</w:t>
      </w:r>
    </w:p>
    <w:p w14:paraId="74BC5BBC" w14:textId="77777777" w:rsidR="00594300" w:rsidRDefault="00594300" w:rsidP="00594300">
      <w:pPr>
        <w:contextualSpacing/>
        <w:jc w:val="both"/>
        <w:rPr>
          <w:rFonts w:ascii="Arial" w:hAnsi="Arial" w:cs="Arial"/>
        </w:rPr>
      </w:pPr>
      <w:r>
        <w:rPr>
          <w:rFonts w:ascii="Arial" w:hAnsi="Arial" w:cs="Arial"/>
          <w:b/>
          <w:bCs/>
        </w:rPr>
        <w:t>Zorla Çalıştırma</w:t>
      </w:r>
      <w:r w:rsidR="000D7499" w:rsidRPr="000D7499">
        <w:rPr>
          <w:rFonts w:ascii="Arial" w:hAnsi="Arial" w:cs="Arial"/>
          <w:b/>
          <w:bCs/>
        </w:rPr>
        <w:t>:</w:t>
      </w:r>
      <w:r w:rsidR="000D7499" w:rsidRPr="000D7499">
        <w:rPr>
          <w:rFonts w:ascii="Arial" w:hAnsi="Arial" w:cs="Arial"/>
        </w:rPr>
        <w:t xml:space="preserve"> </w:t>
      </w:r>
      <w:r w:rsidRPr="00594300">
        <w:rPr>
          <w:rFonts w:ascii="Arial" w:hAnsi="Arial" w:cs="Arial"/>
        </w:rPr>
        <w:t>herhangi bir kişinin baskı, şiddet, ceza tehdidi altında ve gönüllü</w:t>
      </w:r>
      <w:r>
        <w:rPr>
          <w:rFonts w:ascii="Arial" w:hAnsi="Arial" w:cs="Arial"/>
        </w:rPr>
        <w:t xml:space="preserve"> </w:t>
      </w:r>
      <w:r w:rsidRPr="00594300">
        <w:rPr>
          <w:rFonts w:ascii="Arial" w:hAnsi="Arial" w:cs="Arial"/>
        </w:rPr>
        <w:t>olmadığı bir biçimde mecbur edildiği tüm iş veya hizmetleri ifade eder. İşçiye ücret veya diğer bazı</w:t>
      </w:r>
      <w:r>
        <w:rPr>
          <w:rFonts w:ascii="Arial" w:hAnsi="Arial" w:cs="Arial"/>
        </w:rPr>
        <w:t xml:space="preserve"> </w:t>
      </w:r>
      <w:r w:rsidRPr="00594300">
        <w:rPr>
          <w:rFonts w:ascii="Arial" w:hAnsi="Arial" w:cs="Arial"/>
        </w:rPr>
        <w:t>tazminatların ödeniyor olması, o işin zorla veya zorunlu biçimde yaptırılabileceği anlamına</w:t>
      </w:r>
      <w:r>
        <w:rPr>
          <w:rFonts w:ascii="Arial" w:hAnsi="Arial" w:cs="Arial"/>
        </w:rPr>
        <w:t xml:space="preserve"> </w:t>
      </w:r>
      <w:r w:rsidRPr="00594300">
        <w:rPr>
          <w:rFonts w:ascii="Arial" w:hAnsi="Arial" w:cs="Arial"/>
        </w:rPr>
        <w:t>gelmez. Bir hak olarak emeğin özgürce sunulması ve çalışanların, yasal çerçevede veya makul</w:t>
      </w:r>
      <w:r>
        <w:rPr>
          <w:rFonts w:ascii="Arial" w:hAnsi="Arial" w:cs="Arial"/>
        </w:rPr>
        <w:t xml:space="preserve"> </w:t>
      </w:r>
      <w:r w:rsidRPr="00594300">
        <w:rPr>
          <w:rFonts w:ascii="Arial" w:hAnsi="Arial" w:cs="Arial"/>
        </w:rPr>
        <w:t>bir süre öncesinde haber vermek kaydıyla iş akdini sonlandırmakta özgür olmaları garanti altına</w:t>
      </w:r>
      <w:r>
        <w:rPr>
          <w:rFonts w:ascii="Arial" w:hAnsi="Arial" w:cs="Arial"/>
        </w:rPr>
        <w:t xml:space="preserve"> </w:t>
      </w:r>
      <w:r w:rsidRPr="00594300">
        <w:rPr>
          <w:rFonts w:ascii="Arial" w:hAnsi="Arial" w:cs="Arial"/>
        </w:rPr>
        <w:t>alınmaktadır. Zorla çalıştırma, temel insan hakları ihlalidir.</w:t>
      </w:r>
    </w:p>
    <w:p w14:paraId="2D797FAC" w14:textId="77777777" w:rsidR="00594300" w:rsidRDefault="00594300" w:rsidP="00594300">
      <w:pPr>
        <w:contextualSpacing/>
        <w:jc w:val="both"/>
        <w:rPr>
          <w:rFonts w:ascii="Arial" w:hAnsi="Arial" w:cs="Arial"/>
        </w:rPr>
      </w:pPr>
    </w:p>
    <w:p w14:paraId="6F584A1A" w14:textId="77777777" w:rsidR="00594300" w:rsidRDefault="00594300" w:rsidP="00594300">
      <w:pPr>
        <w:contextualSpacing/>
        <w:jc w:val="both"/>
        <w:rPr>
          <w:rFonts w:ascii="Arial" w:hAnsi="Arial" w:cs="Arial"/>
        </w:rPr>
      </w:pPr>
      <w:r w:rsidRPr="00594300">
        <w:rPr>
          <w:rFonts w:ascii="Arial" w:hAnsi="Arial" w:cs="Arial"/>
        </w:rPr>
        <w:t xml:space="preserve">Zorla çalıştırmaya örnek olabilecek durumlar: </w:t>
      </w:r>
    </w:p>
    <w:p w14:paraId="404F9EAD" w14:textId="3050E82C" w:rsidR="00594300" w:rsidRPr="00594300" w:rsidRDefault="00594300" w:rsidP="00594300">
      <w:pPr>
        <w:pStyle w:val="ListParagraph"/>
        <w:numPr>
          <w:ilvl w:val="0"/>
          <w:numId w:val="4"/>
        </w:numPr>
        <w:jc w:val="both"/>
        <w:rPr>
          <w:rFonts w:ascii="Arial" w:hAnsi="Arial" w:cs="Arial"/>
        </w:rPr>
      </w:pPr>
      <w:r w:rsidRPr="00594300">
        <w:rPr>
          <w:rFonts w:ascii="Arial" w:hAnsi="Arial" w:cs="Arial"/>
        </w:rPr>
        <w:t xml:space="preserve">Borçlandırarak çalıştırma, </w:t>
      </w:r>
    </w:p>
    <w:p w14:paraId="625CC703" w14:textId="14F09AED" w:rsidR="00594300" w:rsidRPr="00594300" w:rsidRDefault="00594300" w:rsidP="00594300">
      <w:pPr>
        <w:pStyle w:val="ListParagraph"/>
        <w:numPr>
          <w:ilvl w:val="0"/>
          <w:numId w:val="4"/>
        </w:numPr>
        <w:jc w:val="both"/>
        <w:rPr>
          <w:rFonts w:ascii="Arial" w:hAnsi="Arial" w:cs="Arial"/>
        </w:rPr>
      </w:pPr>
      <w:r w:rsidRPr="00594300">
        <w:rPr>
          <w:rFonts w:ascii="Arial" w:hAnsi="Arial" w:cs="Arial"/>
        </w:rPr>
        <w:t xml:space="preserve">Kişinin çalışmayı reddetme hakkının bulunmadığı durumların yaratılması, </w:t>
      </w:r>
    </w:p>
    <w:p w14:paraId="57DBC8EF" w14:textId="1C0162DD" w:rsidR="00594300" w:rsidRPr="00594300" w:rsidRDefault="00594300" w:rsidP="00594300">
      <w:pPr>
        <w:pStyle w:val="ListParagraph"/>
        <w:numPr>
          <w:ilvl w:val="0"/>
          <w:numId w:val="4"/>
        </w:numPr>
        <w:jc w:val="both"/>
        <w:rPr>
          <w:rFonts w:ascii="Arial" w:hAnsi="Arial" w:cs="Arial"/>
        </w:rPr>
      </w:pPr>
      <w:r w:rsidRPr="00594300">
        <w:rPr>
          <w:rFonts w:ascii="Arial" w:hAnsi="Arial" w:cs="Arial"/>
        </w:rPr>
        <w:lastRenderedPageBreak/>
        <w:t>Mahkeme kararı ile aksi sabit olmadığı ve bir kamu otoritesinin özel gözetimi bulunmaksızın mahkûm ya da hükümlülerin çalıştırıldığı durumları kapsar.</w:t>
      </w:r>
    </w:p>
    <w:p w14:paraId="1809E5EC" w14:textId="5920246F" w:rsidR="005C7214" w:rsidRDefault="005C7214" w:rsidP="00FC65C2">
      <w:pPr>
        <w:pStyle w:val="ListParagraph"/>
        <w:numPr>
          <w:ilvl w:val="0"/>
          <w:numId w:val="5"/>
        </w:numPr>
        <w:ind w:left="426"/>
        <w:jc w:val="both"/>
        <w:rPr>
          <w:rFonts w:ascii="Arial" w:hAnsi="Arial" w:cs="Arial"/>
          <w:b/>
        </w:rPr>
      </w:pPr>
      <w:r w:rsidRPr="00324B7E">
        <w:rPr>
          <w:rFonts w:ascii="Arial" w:hAnsi="Arial" w:cs="Arial"/>
          <w:b/>
        </w:rPr>
        <w:t>Sorumluluklar</w:t>
      </w:r>
    </w:p>
    <w:p w14:paraId="51BBE6CC" w14:textId="3A25E750" w:rsidR="00594300" w:rsidRPr="00594300" w:rsidRDefault="00594300" w:rsidP="00324B7E">
      <w:pPr>
        <w:jc w:val="both"/>
        <w:rPr>
          <w:rFonts w:ascii="Arial" w:hAnsi="Arial" w:cs="Arial"/>
        </w:rPr>
      </w:pPr>
      <w:proofErr w:type="spellStart"/>
      <w:r w:rsidRPr="00594300">
        <w:rPr>
          <w:rFonts w:ascii="Arial" w:hAnsi="Arial" w:cs="Arial"/>
        </w:rPr>
        <w:t>Ento</w:t>
      </w:r>
      <w:proofErr w:type="spellEnd"/>
      <w:r w:rsidRPr="00594300">
        <w:rPr>
          <w:rFonts w:ascii="Arial" w:hAnsi="Arial" w:cs="Arial"/>
        </w:rPr>
        <w:t xml:space="preserve"> Maden Global A.Ş., Uluslararası Çalışma Örgütü (ILO) standartları, 4857 sayılı iş kanunu ve tedarikçisi olduğumuz uluslararası markaların sosyal uygunluk kurallarında belirtilen </w:t>
      </w:r>
      <w:r w:rsidR="00441FF6">
        <w:rPr>
          <w:rFonts w:ascii="Arial" w:hAnsi="Arial" w:cs="Arial"/>
        </w:rPr>
        <w:t>“</w:t>
      </w:r>
      <w:r w:rsidRPr="00594300">
        <w:rPr>
          <w:rFonts w:ascii="Arial" w:hAnsi="Arial" w:cs="Arial"/>
        </w:rPr>
        <w:t>Zorla Çalıştırmanın Engellenmesi</w:t>
      </w:r>
      <w:r w:rsidR="00441FF6">
        <w:rPr>
          <w:rFonts w:ascii="Arial" w:hAnsi="Arial" w:cs="Arial"/>
        </w:rPr>
        <w:t xml:space="preserve">” </w:t>
      </w:r>
      <w:r w:rsidRPr="00594300">
        <w:rPr>
          <w:rFonts w:ascii="Arial" w:hAnsi="Arial" w:cs="Arial"/>
        </w:rPr>
        <w:t>politikasına uymayı kabul ve taahhüt eder</w:t>
      </w:r>
      <w:r>
        <w:rPr>
          <w:rFonts w:ascii="Arial" w:hAnsi="Arial" w:cs="Arial"/>
        </w:rPr>
        <w:t>.</w:t>
      </w:r>
    </w:p>
    <w:p w14:paraId="4EC6414F" w14:textId="77777777" w:rsidR="005C7214" w:rsidRPr="00324B7E" w:rsidRDefault="005C7214" w:rsidP="00324B7E">
      <w:pPr>
        <w:jc w:val="both"/>
        <w:rPr>
          <w:rFonts w:ascii="Arial" w:hAnsi="Arial" w:cs="Arial"/>
          <w:b/>
        </w:rPr>
      </w:pPr>
      <w:r w:rsidRPr="00324B7E">
        <w:rPr>
          <w:rFonts w:ascii="Arial" w:hAnsi="Arial" w:cs="Arial"/>
          <w:b/>
        </w:rPr>
        <w:t>Genel Müdür;</w:t>
      </w:r>
    </w:p>
    <w:p w14:paraId="26C464D8" w14:textId="6F6A7033" w:rsidR="005C7214" w:rsidRPr="00324B7E" w:rsidRDefault="00D827C7" w:rsidP="00324B7E">
      <w:pPr>
        <w:pStyle w:val="ListParagraph"/>
        <w:numPr>
          <w:ilvl w:val="0"/>
          <w:numId w:val="2"/>
        </w:numPr>
        <w:jc w:val="both"/>
        <w:rPr>
          <w:rFonts w:ascii="Arial" w:hAnsi="Arial" w:cs="Arial"/>
        </w:rPr>
      </w:pPr>
      <w:r>
        <w:rPr>
          <w:rFonts w:ascii="Arial" w:hAnsi="Arial" w:cs="Arial"/>
        </w:rPr>
        <w:t>Zorla Çalıştırma</w:t>
      </w:r>
      <w:r w:rsidR="005C7214" w:rsidRPr="00324B7E">
        <w:rPr>
          <w:rFonts w:ascii="Arial" w:hAnsi="Arial" w:cs="Arial"/>
        </w:rPr>
        <w:t xml:space="preserve"> Politikası’ n dan en üst seviyede Genel Müdür sorumludur.</w:t>
      </w:r>
    </w:p>
    <w:p w14:paraId="36B4F439" w14:textId="1BD349BE" w:rsidR="005C7214" w:rsidRPr="00D827C7" w:rsidRDefault="005C7214" w:rsidP="00D827C7">
      <w:pPr>
        <w:pStyle w:val="ListParagraph"/>
        <w:numPr>
          <w:ilvl w:val="0"/>
          <w:numId w:val="2"/>
        </w:numPr>
        <w:jc w:val="both"/>
        <w:rPr>
          <w:rFonts w:ascii="Arial" w:hAnsi="Arial" w:cs="Arial"/>
        </w:rPr>
      </w:pPr>
      <w:r w:rsidRPr="00324B7E">
        <w:rPr>
          <w:rFonts w:ascii="Arial" w:hAnsi="Arial" w:cs="Arial"/>
        </w:rPr>
        <w:t>Genel Müdür bu politika metnini kabul eder ve uygulanması için gerekli ortamı sağlar.</w:t>
      </w:r>
    </w:p>
    <w:p w14:paraId="5709FE5B" w14:textId="77777777" w:rsidR="005C7214" w:rsidRPr="00324B7E" w:rsidRDefault="005C7214" w:rsidP="00324B7E">
      <w:pPr>
        <w:pStyle w:val="ListParagraph"/>
        <w:numPr>
          <w:ilvl w:val="0"/>
          <w:numId w:val="2"/>
        </w:numPr>
        <w:jc w:val="both"/>
        <w:rPr>
          <w:rFonts w:ascii="Arial" w:hAnsi="Arial" w:cs="Arial"/>
        </w:rPr>
      </w:pPr>
      <w:r w:rsidRPr="00324B7E">
        <w:rPr>
          <w:rFonts w:ascii="Arial" w:hAnsi="Arial" w:cs="Arial"/>
        </w:rPr>
        <w:t>Politika metnine aykırı davranışların bildirilmesi için gerekli iletişim kanallarının kurulmasını sağlar, bildirimde bulunan kişilerin gizliliğini ve güvenliğini sağlamaya yönelik tedbirleri alır.</w:t>
      </w:r>
    </w:p>
    <w:p w14:paraId="356FC61F" w14:textId="77019749" w:rsidR="005C7214" w:rsidRPr="00324B7E" w:rsidRDefault="005C7214" w:rsidP="00324B7E">
      <w:pPr>
        <w:pStyle w:val="ListParagraph"/>
        <w:numPr>
          <w:ilvl w:val="0"/>
          <w:numId w:val="2"/>
        </w:numPr>
        <w:jc w:val="both"/>
        <w:rPr>
          <w:rFonts w:ascii="Arial" w:hAnsi="Arial" w:cs="Arial"/>
        </w:rPr>
      </w:pPr>
      <w:r w:rsidRPr="00324B7E">
        <w:rPr>
          <w:rFonts w:ascii="Arial" w:hAnsi="Arial" w:cs="Arial"/>
        </w:rPr>
        <w:t xml:space="preserve">Konu hakkında ulaşan </w:t>
      </w:r>
      <w:r w:rsidR="00324B7E" w:rsidRPr="00324B7E">
        <w:rPr>
          <w:rFonts w:ascii="Arial" w:hAnsi="Arial" w:cs="Arial"/>
        </w:rPr>
        <w:t>şikâyet</w:t>
      </w:r>
      <w:r w:rsidRPr="00324B7E">
        <w:rPr>
          <w:rFonts w:ascii="Arial" w:hAnsi="Arial" w:cs="Arial"/>
        </w:rPr>
        <w:t xml:space="preserve">, ihbar ve </w:t>
      </w:r>
      <w:r w:rsidR="00324B7E" w:rsidRPr="00324B7E">
        <w:rPr>
          <w:rFonts w:ascii="Arial" w:hAnsi="Arial" w:cs="Arial"/>
        </w:rPr>
        <w:t>iddialar</w:t>
      </w:r>
      <w:r w:rsidRPr="00324B7E">
        <w:rPr>
          <w:rFonts w:ascii="Arial" w:hAnsi="Arial" w:cs="Arial"/>
        </w:rPr>
        <w:t xml:space="preserve"> hakkında gereken inceleme ve soruşturmaların yapılmasını sağlar.</w:t>
      </w:r>
    </w:p>
    <w:p w14:paraId="6FF25FF1" w14:textId="2B3E634E" w:rsidR="005C7214" w:rsidRPr="00907D18" w:rsidRDefault="005C7214" w:rsidP="00907D18">
      <w:pPr>
        <w:pStyle w:val="ListParagraph"/>
        <w:numPr>
          <w:ilvl w:val="0"/>
          <w:numId w:val="2"/>
        </w:numPr>
        <w:jc w:val="both"/>
        <w:rPr>
          <w:rFonts w:ascii="Arial" w:hAnsi="Arial" w:cs="Arial"/>
        </w:rPr>
      </w:pPr>
      <w:r w:rsidRPr="00324B7E">
        <w:rPr>
          <w:rFonts w:ascii="Arial" w:hAnsi="Arial" w:cs="Arial"/>
        </w:rPr>
        <w:t>Yasal düzenlemelere, yönetmeliklere, prosedürlere ve politikalara uygunluğu sağlamak amacıyla denetimlerin yapılmasını ve düzeltici tedbirlerin alınmasını sağlar.</w:t>
      </w:r>
    </w:p>
    <w:p w14:paraId="4057930B" w14:textId="77777777" w:rsidR="005C7214" w:rsidRPr="00907D18" w:rsidRDefault="005C7214" w:rsidP="00907D18">
      <w:pPr>
        <w:jc w:val="both"/>
        <w:rPr>
          <w:rFonts w:ascii="Arial" w:hAnsi="Arial" w:cs="Arial"/>
          <w:b/>
        </w:rPr>
      </w:pPr>
      <w:r w:rsidRPr="00907D18">
        <w:rPr>
          <w:rFonts w:ascii="Arial" w:hAnsi="Arial" w:cs="Arial"/>
          <w:b/>
        </w:rPr>
        <w:t>Yöneticiler ve Çalışanlar;</w:t>
      </w:r>
    </w:p>
    <w:p w14:paraId="581F68EE" w14:textId="0D2EFAA3" w:rsidR="00324B7E" w:rsidRPr="00907D18" w:rsidRDefault="005C7214" w:rsidP="00324B7E">
      <w:pPr>
        <w:pStyle w:val="ListParagraph"/>
        <w:numPr>
          <w:ilvl w:val="0"/>
          <w:numId w:val="3"/>
        </w:numPr>
        <w:jc w:val="both"/>
        <w:rPr>
          <w:rFonts w:ascii="Arial" w:hAnsi="Arial" w:cs="Arial"/>
        </w:rPr>
      </w:pPr>
      <w:r w:rsidRPr="00324B7E">
        <w:rPr>
          <w:rFonts w:ascii="Arial" w:hAnsi="Arial" w:cs="Arial"/>
        </w:rPr>
        <w:t>Yöneticiler, bu politika metnindeki ilkelerin; sorumlu oldukları iş ortakları ve idaresi altındaki çalışanlar tarafından anlaşılmasını, uygulanmasını ve yaşatılmasını sağlar.</w:t>
      </w:r>
    </w:p>
    <w:p w14:paraId="3CFFD26A" w14:textId="77777777" w:rsidR="005C7214" w:rsidRPr="00324B7E" w:rsidRDefault="005C7214" w:rsidP="00324B7E">
      <w:pPr>
        <w:pStyle w:val="ListParagraph"/>
        <w:numPr>
          <w:ilvl w:val="0"/>
          <w:numId w:val="3"/>
        </w:numPr>
        <w:jc w:val="both"/>
        <w:rPr>
          <w:rFonts w:ascii="Arial" w:hAnsi="Arial" w:cs="Arial"/>
        </w:rPr>
      </w:pPr>
      <w:r w:rsidRPr="00324B7E">
        <w:rPr>
          <w:rFonts w:ascii="Arial" w:hAnsi="Arial" w:cs="Arial"/>
        </w:rPr>
        <w:t>Çalışanlar hiçbir durumda ve hiç kimse tarafından bu politikaya aykırı hareket etmeye zorlanamaz.</w:t>
      </w:r>
    </w:p>
    <w:p w14:paraId="3D37FE8E" w14:textId="2B0529E9" w:rsidR="005C7214" w:rsidRPr="00324B7E" w:rsidRDefault="00FC65C2" w:rsidP="00324B7E">
      <w:pPr>
        <w:pStyle w:val="ListParagraph"/>
        <w:numPr>
          <w:ilvl w:val="0"/>
          <w:numId w:val="3"/>
        </w:numPr>
        <w:jc w:val="both"/>
        <w:rPr>
          <w:rFonts w:ascii="Arial" w:hAnsi="Arial" w:cs="Arial"/>
        </w:rPr>
      </w:pPr>
      <w:r>
        <w:rPr>
          <w:rFonts w:ascii="Arial" w:hAnsi="Arial" w:cs="Arial"/>
        </w:rPr>
        <w:t xml:space="preserve">Tüm </w:t>
      </w:r>
      <w:proofErr w:type="spellStart"/>
      <w:r>
        <w:rPr>
          <w:rFonts w:ascii="Arial" w:hAnsi="Arial" w:cs="Arial"/>
        </w:rPr>
        <w:t>Ento</w:t>
      </w:r>
      <w:proofErr w:type="spellEnd"/>
      <w:r>
        <w:rPr>
          <w:rFonts w:ascii="Arial" w:hAnsi="Arial" w:cs="Arial"/>
        </w:rPr>
        <w:t xml:space="preserve"> </w:t>
      </w:r>
      <w:r w:rsidR="005C7214" w:rsidRPr="00324B7E">
        <w:rPr>
          <w:rFonts w:ascii="Arial" w:hAnsi="Arial" w:cs="Arial"/>
        </w:rPr>
        <w:t>çalışanları bu politikaya aykırı davranışları ve şüphe</w:t>
      </w:r>
      <w:r w:rsidR="00324B7E">
        <w:rPr>
          <w:rFonts w:ascii="Arial" w:hAnsi="Arial" w:cs="Arial"/>
        </w:rPr>
        <w:t>le</w:t>
      </w:r>
      <w:r w:rsidR="005C7214" w:rsidRPr="00324B7E">
        <w:rPr>
          <w:rFonts w:ascii="Arial" w:hAnsi="Arial" w:cs="Arial"/>
        </w:rPr>
        <w:t>nilen durumları yöneticilerine ve/veya aşağıda belirtilen iletişim kanallarına bildirmekle yükümlüdür.</w:t>
      </w:r>
    </w:p>
    <w:p w14:paraId="55D2AC2B" w14:textId="7836AEF9" w:rsidR="00324B7E" w:rsidRDefault="005C7214" w:rsidP="00907D18">
      <w:pPr>
        <w:pStyle w:val="ListParagraph"/>
        <w:numPr>
          <w:ilvl w:val="0"/>
          <w:numId w:val="3"/>
        </w:numPr>
        <w:jc w:val="both"/>
        <w:rPr>
          <w:rFonts w:ascii="Arial" w:hAnsi="Arial" w:cs="Arial"/>
        </w:rPr>
      </w:pPr>
      <w:r w:rsidRPr="00324B7E">
        <w:rPr>
          <w:rFonts w:ascii="Arial" w:hAnsi="Arial" w:cs="Arial"/>
        </w:rPr>
        <w:t xml:space="preserve">Yöneticiler, idaresi altındaki çalışanlar tarafından kendilerine ulaşan </w:t>
      </w:r>
      <w:r w:rsidR="00907D18" w:rsidRPr="00324B7E">
        <w:rPr>
          <w:rFonts w:ascii="Arial" w:hAnsi="Arial" w:cs="Arial"/>
        </w:rPr>
        <w:t>şikâyet</w:t>
      </w:r>
      <w:r w:rsidRPr="00324B7E">
        <w:rPr>
          <w:rFonts w:ascii="Arial" w:hAnsi="Arial" w:cs="Arial"/>
        </w:rPr>
        <w:t xml:space="preserve">, ihbar ve </w:t>
      </w:r>
      <w:r w:rsidR="00324B7E" w:rsidRPr="00324B7E">
        <w:rPr>
          <w:rFonts w:ascii="Arial" w:hAnsi="Arial" w:cs="Arial"/>
        </w:rPr>
        <w:t>iddiaları</w:t>
      </w:r>
      <w:r w:rsidRPr="00324B7E">
        <w:rPr>
          <w:rFonts w:ascii="Arial" w:hAnsi="Arial" w:cs="Arial"/>
        </w:rPr>
        <w:t xml:space="preserve"> aşağıda belirtilen iletişim kanallarına bildirmekle yükümlüdür.</w:t>
      </w:r>
    </w:p>
    <w:p w14:paraId="72385AD5" w14:textId="77777777" w:rsidR="00FC65C2" w:rsidRPr="00907D18" w:rsidRDefault="00FC65C2" w:rsidP="00FC65C2">
      <w:pPr>
        <w:pStyle w:val="ListParagraph"/>
        <w:jc w:val="both"/>
        <w:rPr>
          <w:rFonts w:ascii="Arial" w:hAnsi="Arial" w:cs="Arial"/>
        </w:rPr>
      </w:pPr>
    </w:p>
    <w:p w14:paraId="2F5430D0" w14:textId="073C401E" w:rsidR="005C7214" w:rsidRPr="00324B7E" w:rsidRDefault="005C7214" w:rsidP="00FC65C2">
      <w:pPr>
        <w:pStyle w:val="ListParagraph"/>
        <w:numPr>
          <w:ilvl w:val="0"/>
          <w:numId w:val="5"/>
        </w:numPr>
        <w:ind w:left="426"/>
        <w:jc w:val="both"/>
        <w:rPr>
          <w:rFonts w:ascii="Arial" w:hAnsi="Arial" w:cs="Arial"/>
          <w:b/>
        </w:rPr>
      </w:pPr>
      <w:r w:rsidRPr="00324B7E">
        <w:rPr>
          <w:rFonts w:ascii="Arial" w:hAnsi="Arial" w:cs="Arial"/>
          <w:b/>
        </w:rPr>
        <w:t>Aykırı Davranış ve Tutumlara İlişkin Yaptırımlar</w:t>
      </w:r>
    </w:p>
    <w:p w14:paraId="36B2722E" w14:textId="5F1A3CAB" w:rsidR="005C7214" w:rsidRPr="00324B7E" w:rsidRDefault="00441FF6" w:rsidP="00907D18">
      <w:pPr>
        <w:ind w:left="720"/>
        <w:contextualSpacing/>
        <w:jc w:val="both"/>
        <w:rPr>
          <w:rFonts w:ascii="Arial" w:hAnsi="Arial" w:cs="Arial"/>
        </w:rPr>
      </w:pPr>
      <w:proofErr w:type="spellStart"/>
      <w:r>
        <w:rPr>
          <w:rFonts w:ascii="Arial" w:hAnsi="Arial" w:cs="Arial"/>
        </w:rPr>
        <w:t>Ento’nun</w:t>
      </w:r>
      <w:proofErr w:type="spellEnd"/>
      <w:r w:rsidR="005C7214" w:rsidRPr="00324B7E">
        <w:rPr>
          <w:rFonts w:ascii="Arial" w:hAnsi="Arial" w:cs="Arial"/>
        </w:rPr>
        <w:t xml:space="preserve"> tüm görevlerde yönetmelik, prosedür ve talimatları eksiksiz uygulandığı gibi</w:t>
      </w:r>
      <w:r w:rsidR="00907D18">
        <w:rPr>
          <w:rFonts w:ascii="Arial" w:hAnsi="Arial" w:cs="Arial"/>
        </w:rPr>
        <w:t xml:space="preserve"> </w:t>
      </w:r>
      <w:r w:rsidR="00D827C7">
        <w:rPr>
          <w:rFonts w:ascii="Arial" w:hAnsi="Arial" w:cs="Arial"/>
        </w:rPr>
        <w:t>Zorla Çalıştırma</w:t>
      </w:r>
      <w:r>
        <w:rPr>
          <w:rFonts w:ascii="Arial" w:hAnsi="Arial" w:cs="Arial"/>
        </w:rPr>
        <w:t>nın Engellenmesi</w:t>
      </w:r>
      <w:r w:rsidR="005C7214" w:rsidRPr="00324B7E">
        <w:rPr>
          <w:rFonts w:ascii="Arial" w:hAnsi="Arial" w:cs="Arial"/>
        </w:rPr>
        <w:t xml:space="preserve"> Politikası çalışanlar tarafından benimsenmeli ve uygulanmalıdır. Politika</w:t>
      </w:r>
      <w:r w:rsidR="00907D18">
        <w:rPr>
          <w:rFonts w:ascii="Arial" w:hAnsi="Arial" w:cs="Arial"/>
        </w:rPr>
        <w:t>nın</w:t>
      </w:r>
      <w:r w:rsidR="005C7214" w:rsidRPr="00324B7E">
        <w:rPr>
          <w:rFonts w:ascii="Arial" w:hAnsi="Arial" w:cs="Arial"/>
        </w:rPr>
        <w:t xml:space="preserve"> ihlali durumunda </w:t>
      </w:r>
      <w:proofErr w:type="spellStart"/>
      <w:r w:rsidR="00FC65C2">
        <w:rPr>
          <w:rFonts w:ascii="Arial" w:hAnsi="Arial" w:cs="Arial"/>
        </w:rPr>
        <w:t>Ento’nun</w:t>
      </w:r>
      <w:proofErr w:type="spellEnd"/>
      <w:r w:rsidR="00FC65C2">
        <w:rPr>
          <w:rFonts w:ascii="Arial" w:hAnsi="Arial" w:cs="Arial"/>
        </w:rPr>
        <w:t xml:space="preserve"> iç</w:t>
      </w:r>
      <w:r w:rsidR="005C7214" w:rsidRPr="00324B7E">
        <w:rPr>
          <w:rFonts w:ascii="Arial" w:hAnsi="Arial" w:cs="Arial"/>
        </w:rPr>
        <w:t xml:space="preserve"> düzenlemelere göre iş akdinin feshedilmesine kadar varabilecek yaptırımlar ile karşı karşıya kalınabileceği ve konunun </w:t>
      </w:r>
      <w:r w:rsidR="00047B69" w:rsidRPr="00324B7E">
        <w:rPr>
          <w:rFonts w:ascii="Arial" w:hAnsi="Arial" w:cs="Arial"/>
        </w:rPr>
        <w:t>birçok</w:t>
      </w:r>
      <w:r w:rsidR="005C7214" w:rsidRPr="00324B7E">
        <w:rPr>
          <w:rFonts w:ascii="Arial" w:hAnsi="Arial" w:cs="Arial"/>
        </w:rPr>
        <w:t xml:space="preserve"> ülkede hapis cezasını da kapsayan önemli yaptırımlar ile düzenlendiği unutulmamalıdır.</w:t>
      </w:r>
    </w:p>
    <w:p w14:paraId="76D32EEA" w14:textId="77777777" w:rsidR="005C7214" w:rsidRPr="00324B7E" w:rsidRDefault="005C7214" w:rsidP="00324B7E">
      <w:pPr>
        <w:jc w:val="both"/>
        <w:rPr>
          <w:rFonts w:ascii="Arial" w:hAnsi="Arial" w:cs="Arial"/>
        </w:rPr>
      </w:pPr>
    </w:p>
    <w:p w14:paraId="7D12BB40" w14:textId="77777777" w:rsidR="005C7214" w:rsidRPr="00324B7E" w:rsidRDefault="005C7214" w:rsidP="00324B7E">
      <w:pPr>
        <w:jc w:val="both"/>
        <w:rPr>
          <w:rFonts w:ascii="Arial" w:hAnsi="Arial" w:cs="Arial"/>
        </w:rPr>
      </w:pPr>
    </w:p>
    <w:sectPr w:rsidR="005C7214" w:rsidRPr="00324B7E" w:rsidSect="00324B7E">
      <w:headerReference w:type="default" r:id="rId7"/>
      <w:footerReference w:type="default" r:id="rId8"/>
      <w:pgSz w:w="11906" w:h="16838"/>
      <w:pgMar w:top="1417" w:right="1417" w:bottom="1417" w:left="1417" w:header="708" w:footer="16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DDBEE" w14:textId="77777777" w:rsidR="00B36067" w:rsidRDefault="00B36067" w:rsidP="00324B7E">
      <w:pPr>
        <w:spacing w:after="0" w:line="240" w:lineRule="auto"/>
      </w:pPr>
      <w:r>
        <w:separator/>
      </w:r>
    </w:p>
  </w:endnote>
  <w:endnote w:type="continuationSeparator" w:id="0">
    <w:p w14:paraId="0086A607" w14:textId="77777777" w:rsidR="00B36067" w:rsidRDefault="00B36067" w:rsidP="0032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3"/>
      <w:tblpPr w:leftFromText="141" w:rightFromText="141" w:vertAnchor="text" w:horzAnchor="margin" w:tblpY="228"/>
      <w:tblW w:w="0" w:type="auto"/>
      <w:tblLook w:val="04A0" w:firstRow="1" w:lastRow="0" w:firstColumn="1" w:lastColumn="0" w:noHBand="0" w:noVBand="1"/>
    </w:tblPr>
    <w:tblGrid>
      <w:gridCol w:w="3070"/>
      <w:gridCol w:w="3071"/>
      <w:gridCol w:w="3071"/>
    </w:tblGrid>
    <w:tr w:rsidR="00324B7E" w:rsidRPr="00AE7ACA" w14:paraId="2A703974" w14:textId="77777777" w:rsidTr="00153299">
      <w:tc>
        <w:tcPr>
          <w:tcW w:w="3070" w:type="dxa"/>
          <w:shd w:val="clear" w:color="auto" w:fill="D9D9D9" w:themeFill="background1" w:themeFillShade="D9"/>
        </w:tcPr>
        <w:p w14:paraId="1B079452" w14:textId="77777777" w:rsidR="00324B7E" w:rsidRPr="00AE7ACA" w:rsidRDefault="00324B7E" w:rsidP="00324B7E">
          <w:pPr>
            <w:jc w:val="center"/>
            <w:rPr>
              <w:b/>
              <w:sz w:val="20"/>
            </w:rPr>
          </w:pPr>
          <w:r w:rsidRPr="00AE7ACA">
            <w:rPr>
              <w:b/>
              <w:sz w:val="20"/>
            </w:rPr>
            <w:t>HAZIRLAYAN</w:t>
          </w:r>
        </w:p>
      </w:tc>
      <w:tc>
        <w:tcPr>
          <w:tcW w:w="3071" w:type="dxa"/>
          <w:shd w:val="clear" w:color="auto" w:fill="D9D9D9" w:themeFill="background1" w:themeFillShade="D9"/>
        </w:tcPr>
        <w:p w14:paraId="0CD1BFC5" w14:textId="77777777" w:rsidR="00324B7E" w:rsidRPr="00AE7ACA" w:rsidRDefault="00324B7E" w:rsidP="00324B7E">
          <w:pPr>
            <w:jc w:val="center"/>
            <w:rPr>
              <w:b/>
              <w:sz w:val="20"/>
            </w:rPr>
          </w:pPr>
          <w:r w:rsidRPr="00AE7ACA">
            <w:rPr>
              <w:b/>
              <w:sz w:val="20"/>
            </w:rPr>
            <w:t>KONTROL</w:t>
          </w:r>
        </w:p>
      </w:tc>
      <w:tc>
        <w:tcPr>
          <w:tcW w:w="3071" w:type="dxa"/>
          <w:shd w:val="clear" w:color="auto" w:fill="D9D9D9" w:themeFill="background1" w:themeFillShade="D9"/>
        </w:tcPr>
        <w:p w14:paraId="65B6A1F6" w14:textId="77777777" w:rsidR="00324B7E" w:rsidRPr="00AE7ACA" w:rsidRDefault="00324B7E" w:rsidP="00324B7E">
          <w:pPr>
            <w:jc w:val="center"/>
            <w:rPr>
              <w:b/>
              <w:sz w:val="20"/>
            </w:rPr>
          </w:pPr>
          <w:r w:rsidRPr="00AE7ACA">
            <w:rPr>
              <w:b/>
              <w:sz w:val="20"/>
            </w:rPr>
            <w:t>ONAY</w:t>
          </w:r>
        </w:p>
      </w:tc>
    </w:tr>
    <w:tr w:rsidR="00324B7E" w:rsidRPr="00AE7ACA" w14:paraId="540B24CC" w14:textId="77777777" w:rsidTr="00153299">
      <w:tc>
        <w:tcPr>
          <w:tcW w:w="3070" w:type="dxa"/>
        </w:tcPr>
        <w:p w14:paraId="2E58DDE0" w14:textId="77777777" w:rsidR="00324B7E" w:rsidRPr="00AE7ACA" w:rsidRDefault="00324B7E" w:rsidP="00324B7E">
          <w:pPr>
            <w:jc w:val="center"/>
            <w:rPr>
              <w:b/>
              <w:sz w:val="20"/>
            </w:rPr>
          </w:pPr>
          <w:r>
            <w:rPr>
              <w:b/>
              <w:sz w:val="20"/>
            </w:rPr>
            <w:t>BELGELENDİRME SORUMLUSU</w:t>
          </w:r>
        </w:p>
      </w:tc>
      <w:tc>
        <w:tcPr>
          <w:tcW w:w="3071" w:type="dxa"/>
        </w:tcPr>
        <w:p w14:paraId="22449FD6" w14:textId="77777777" w:rsidR="00324B7E" w:rsidRPr="00AE7ACA" w:rsidRDefault="00324B7E" w:rsidP="00324B7E">
          <w:pPr>
            <w:jc w:val="center"/>
            <w:rPr>
              <w:b/>
              <w:sz w:val="20"/>
            </w:rPr>
          </w:pPr>
          <w:r w:rsidRPr="00AE7ACA">
            <w:rPr>
              <w:b/>
              <w:sz w:val="20"/>
            </w:rPr>
            <w:t>BÖLÜM SORUMLUSU</w:t>
          </w:r>
        </w:p>
      </w:tc>
      <w:tc>
        <w:tcPr>
          <w:tcW w:w="3071" w:type="dxa"/>
        </w:tcPr>
        <w:p w14:paraId="3DB496D4" w14:textId="77777777" w:rsidR="00324B7E" w:rsidRPr="00AE7ACA" w:rsidRDefault="00324B7E" w:rsidP="00324B7E">
          <w:pPr>
            <w:jc w:val="center"/>
            <w:rPr>
              <w:b/>
              <w:sz w:val="20"/>
            </w:rPr>
          </w:pPr>
          <w:r w:rsidRPr="00AE7ACA">
            <w:rPr>
              <w:b/>
              <w:sz w:val="20"/>
            </w:rPr>
            <w:t>GENEL MÜDÜR</w:t>
          </w:r>
        </w:p>
      </w:tc>
    </w:tr>
    <w:tr w:rsidR="00324B7E" w:rsidRPr="00AE7ACA" w14:paraId="3D462DC9" w14:textId="77777777" w:rsidTr="00153299">
      <w:trPr>
        <w:trHeight w:val="510"/>
      </w:trPr>
      <w:tc>
        <w:tcPr>
          <w:tcW w:w="3070" w:type="dxa"/>
        </w:tcPr>
        <w:p w14:paraId="4A8F8186" w14:textId="77777777" w:rsidR="00324B7E" w:rsidRPr="00AE7ACA" w:rsidRDefault="00324B7E" w:rsidP="00324B7E"/>
        <w:p w14:paraId="7E68BC3B" w14:textId="77777777" w:rsidR="00324B7E" w:rsidRPr="00AE7ACA" w:rsidRDefault="00324B7E" w:rsidP="00324B7E"/>
        <w:p w14:paraId="130A1960" w14:textId="77777777" w:rsidR="00324B7E" w:rsidRPr="00AE7ACA" w:rsidRDefault="00324B7E" w:rsidP="00324B7E"/>
      </w:tc>
      <w:tc>
        <w:tcPr>
          <w:tcW w:w="3071" w:type="dxa"/>
        </w:tcPr>
        <w:p w14:paraId="057C27C2" w14:textId="77777777" w:rsidR="00324B7E" w:rsidRPr="00AE7ACA" w:rsidRDefault="00324B7E" w:rsidP="00324B7E"/>
      </w:tc>
      <w:tc>
        <w:tcPr>
          <w:tcW w:w="3071" w:type="dxa"/>
        </w:tcPr>
        <w:p w14:paraId="070DF394" w14:textId="77777777" w:rsidR="00324B7E" w:rsidRPr="00AE7ACA" w:rsidRDefault="00324B7E" w:rsidP="00324B7E"/>
      </w:tc>
    </w:tr>
  </w:tbl>
  <w:p w14:paraId="5D83E933" w14:textId="77777777" w:rsidR="00324B7E" w:rsidRDefault="00324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A8603" w14:textId="77777777" w:rsidR="00B36067" w:rsidRDefault="00B36067" w:rsidP="00324B7E">
      <w:pPr>
        <w:spacing w:after="0" w:line="240" w:lineRule="auto"/>
      </w:pPr>
      <w:r>
        <w:separator/>
      </w:r>
    </w:p>
  </w:footnote>
  <w:footnote w:type="continuationSeparator" w:id="0">
    <w:p w14:paraId="598F0693" w14:textId="77777777" w:rsidR="00B36067" w:rsidRDefault="00B36067" w:rsidP="00324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2"/>
      <w:tblpPr w:leftFromText="141" w:rightFromText="141" w:horzAnchor="margin" w:tblpXSpec="center" w:tblpY="-787"/>
      <w:tblW w:w="10774" w:type="dxa"/>
      <w:tblLook w:val="04A0" w:firstRow="1" w:lastRow="0" w:firstColumn="1" w:lastColumn="0" w:noHBand="0" w:noVBand="1"/>
    </w:tblPr>
    <w:tblGrid>
      <w:gridCol w:w="2376"/>
      <w:gridCol w:w="4253"/>
      <w:gridCol w:w="1790"/>
      <w:gridCol w:w="2355"/>
    </w:tblGrid>
    <w:tr w:rsidR="00441FF6" w:rsidRPr="00AE7ACA" w14:paraId="6AF91390" w14:textId="77777777" w:rsidTr="00BE00E7">
      <w:trPr>
        <w:trHeight w:val="340"/>
      </w:trPr>
      <w:tc>
        <w:tcPr>
          <w:tcW w:w="2376" w:type="dxa"/>
          <w:vMerge w:val="restart"/>
        </w:tcPr>
        <w:p w14:paraId="5CE3E9EE" w14:textId="77777777" w:rsidR="00441FF6" w:rsidRPr="00AE7ACA" w:rsidRDefault="00441FF6" w:rsidP="00441FF6"/>
        <w:p w14:paraId="2E9241CE" w14:textId="77777777" w:rsidR="00441FF6" w:rsidRPr="00AE7ACA" w:rsidRDefault="00441FF6" w:rsidP="00441FF6"/>
        <w:p w14:paraId="3BF3365B" w14:textId="77777777" w:rsidR="00441FF6" w:rsidRPr="00AE7ACA" w:rsidRDefault="00441FF6" w:rsidP="00441FF6">
          <w:r w:rsidRPr="00AE7ACA">
            <w:rPr>
              <w:noProof/>
            </w:rPr>
            <w:drawing>
              <wp:inline distT="0" distB="0" distL="0" distR="0" wp14:anchorId="32368261" wp14:editId="70347F07">
                <wp:extent cx="1221649" cy="414669"/>
                <wp:effectExtent l="0" t="0" r="0" b="4445"/>
                <wp:docPr id="1" name="Resim 1" descr="C:\Users\user\Desktop\ENTO-Kalite Yönetim Sistemi\Ento Logo\ento-ku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ENTO-Kalite Yönetim Sistemi\Ento Logo\ento-kucuk.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8677"/>
                        <a:stretch/>
                      </pic:blipFill>
                      <pic:spPr bwMode="auto">
                        <a:xfrm>
                          <a:off x="0" y="0"/>
                          <a:ext cx="1222849" cy="41507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3" w:type="dxa"/>
          <w:vMerge w:val="restart"/>
          <w:shd w:val="clear" w:color="auto" w:fill="auto"/>
          <w:vAlign w:val="center"/>
        </w:tcPr>
        <w:p w14:paraId="7C791593" w14:textId="66BFBC2B" w:rsidR="00441FF6" w:rsidRPr="00324B7E" w:rsidRDefault="00441FF6" w:rsidP="00441FF6">
          <w:pPr>
            <w:jc w:val="center"/>
            <w:rPr>
              <w:rFonts w:ascii="Arial" w:hAnsi="Arial" w:cs="Arial"/>
              <w:b/>
              <w:sz w:val="28"/>
              <w:szCs w:val="28"/>
            </w:rPr>
          </w:pPr>
          <w:r>
            <w:rPr>
              <w:rFonts w:ascii="Arial" w:hAnsi="Arial" w:cs="Arial"/>
              <w:b/>
              <w:sz w:val="28"/>
              <w:szCs w:val="28"/>
            </w:rPr>
            <w:t>ZORLA ÇALIŞTIRMANIN ENGELLENMESİ</w:t>
          </w:r>
          <w:r>
            <w:rPr>
              <w:rFonts w:ascii="Arial" w:hAnsi="Arial" w:cs="Arial"/>
              <w:b/>
              <w:sz w:val="28"/>
              <w:szCs w:val="28"/>
            </w:rPr>
            <w:t xml:space="preserve"> POLİTİKASI</w:t>
          </w:r>
        </w:p>
      </w:tc>
      <w:tc>
        <w:tcPr>
          <w:tcW w:w="1790" w:type="dxa"/>
          <w:shd w:val="clear" w:color="auto" w:fill="auto"/>
          <w:vAlign w:val="center"/>
        </w:tcPr>
        <w:p w14:paraId="4C3DA469" w14:textId="77777777" w:rsidR="00441FF6" w:rsidRPr="00324B7E" w:rsidRDefault="00441FF6" w:rsidP="00441FF6">
          <w:pPr>
            <w:jc w:val="center"/>
            <w:rPr>
              <w:rFonts w:ascii="Arial" w:hAnsi="Arial" w:cs="Arial"/>
              <w:b/>
              <w:sz w:val="20"/>
              <w:szCs w:val="20"/>
            </w:rPr>
          </w:pPr>
          <w:r w:rsidRPr="00324B7E">
            <w:rPr>
              <w:rFonts w:ascii="Arial" w:hAnsi="Arial" w:cs="Arial"/>
              <w:b/>
              <w:sz w:val="20"/>
              <w:szCs w:val="20"/>
            </w:rPr>
            <w:t>Doküman No</w:t>
          </w:r>
        </w:p>
      </w:tc>
      <w:tc>
        <w:tcPr>
          <w:tcW w:w="2355" w:type="dxa"/>
          <w:shd w:val="clear" w:color="auto" w:fill="auto"/>
          <w:vAlign w:val="center"/>
        </w:tcPr>
        <w:p w14:paraId="73D91B4B" w14:textId="0B1546E2" w:rsidR="00441FF6" w:rsidRPr="00324B7E" w:rsidRDefault="00441FF6" w:rsidP="00441FF6">
          <w:pPr>
            <w:jc w:val="center"/>
            <w:rPr>
              <w:rFonts w:ascii="Arial" w:hAnsi="Arial" w:cs="Arial"/>
              <w:sz w:val="20"/>
              <w:szCs w:val="20"/>
            </w:rPr>
          </w:pPr>
          <w:r>
            <w:rPr>
              <w:rFonts w:ascii="Arial" w:hAnsi="Arial" w:cs="Arial"/>
              <w:sz w:val="20"/>
              <w:szCs w:val="20"/>
            </w:rPr>
            <w:t>POL</w:t>
          </w:r>
          <w:r w:rsidRPr="00324B7E">
            <w:rPr>
              <w:rFonts w:ascii="Arial" w:hAnsi="Arial" w:cs="Arial"/>
              <w:sz w:val="20"/>
              <w:szCs w:val="20"/>
            </w:rPr>
            <w:t>.0</w:t>
          </w:r>
          <w:r>
            <w:rPr>
              <w:rFonts w:ascii="Arial" w:hAnsi="Arial" w:cs="Arial"/>
              <w:sz w:val="20"/>
              <w:szCs w:val="20"/>
            </w:rPr>
            <w:t>1</w:t>
          </w:r>
          <w:r w:rsidRPr="00324B7E">
            <w:rPr>
              <w:rFonts w:ascii="Arial" w:hAnsi="Arial" w:cs="Arial"/>
              <w:sz w:val="20"/>
              <w:szCs w:val="20"/>
            </w:rPr>
            <w:t>.0</w:t>
          </w:r>
          <w:r>
            <w:rPr>
              <w:rFonts w:ascii="Arial" w:hAnsi="Arial" w:cs="Arial"/>
              <w:sz w:val="20"/>
              <w:szCs w:val="20"/>
            </w:rPr>
            <w:t>3</w:t>
          </w:r>
        </w:p>
      </w:tc>
    </w:tr>
    <w:tr w:rsidR="00441FF6" w:rsidRPr="00AE7ACA" w14:paraId="51022C69" w14:textId="77777777" w:rsidTr="00BE00E7">
      <w:trPr>
        <w:trHeight w:val="340"/>
      </w:trPr>
      <w:tc>
        <w:tcPr>
          <w:tcW w:w="2376" w:type="dxa"/>
          <w:vMerge/>
        </w:tcPr>
        <w:p w14:paraId="70707D4F" w14:textId="77777777" w:rsidR="00441FF6" w:rsidRPr="00AE7ACA" w:rsidRDefault="00441FF6" w:rsidP="00441FF6"/>
      </w:tc>
      <w:tc>
        <w:tcPr>
          <w:tcW w:w="4253" w:type="dxa"/>
          <w:vMerge/>
          <w:shd w:val="clear" w:color="auto" w:fill="auto"/>
          <w:vAlign w:val="center"/>
        </w:tcPr>
        <w:p w14:paraId="26844599" w14:textId="77777777" w:rsidR="00441FF6" w:rsidRPr="00324B7E" w:rsidRDefault="00441FF6" w:rsidP="00441FF6">
          <w:pPr>
            <w:jc w:val="center"/>
            <w:rPr>
              <w:rFonts w:ascii="Arial" w:hAnsi="Arial" w:cs="Arial"/>
              <w:sz w:val="28"/>
              <w:szCs w:val="28"/>
            </w:rPr>
          </w:pPr>
        </w:p>
      </w:tc>
      <w:tc>
        <w:tcPr>
          <w:tcW w:w="1790" w:type="dxa"/>
          <w:shd w:val="clear" w:color="auto" w:fill="auto"/>
          <w:vAlign w:val="center"/>
        </w:tcPr>
        <w:p w14:paraId="3B6EC8D6" w14:textId="77777777" w:rsidR="00441FF6" w:rsidRPr="00324B7E" w:rsidRDefault="00441FF6" w:rsidP="00441FF6">
          <w:pPr>
            <w:jc w:val="center"/>
            <w:rPr>
              <w:rFonts w:ascii="Arial" w:hAnsi="Arial" w:cs="Arial"/>
              <w:b/>
              <w:sz w:val="20"/>
              <w:szCs w:val="20"/>
            </w:rPr>
          </w:pPr>
          <w:r w:rsidRPr="00324B7E">
            <w:rPr>
              <w:rFonts w:ascii="Arial" w:hAnsi="Arial" w:cs="Arial"/>
              <w:b/>
              <w:sz w:val="20"/>
              <w:szCs w:val="20"/>
            </w:rPr>
            <w:t>Yayın Tarihi</w:t>
          </w:r>
        </w:p>
      </w:tc>
      <w:tc>
        <w:tcPr>
          <w:tcW w:w="2355" w:type="dxa"/>
          <w:shd w:val="clear" w:color="auto" w:fill="auto"/>
          <w:vAlign w:val="center"/>
        </w:tcPr>
        <w:p w14:paraId="241B93CF" w14:textId="77777777" w:rsidR="00441FF6" w:rsidRPr="00324B7E" w:rsidRDefault="00441FF6" w:rsidP="00441FF6">
          <w:pPr>
            <w:jc w:val="center"/>
            <w:rPr>
              <w:rFonts w:ascii="Arial" w:hAnsi="Arial" w:cs="Arial"/>
              <w:sz w:val="20"/>
              <w:szCs w:val="20"/>
            </w:rPr>
          </w:pPr>
          <w:r>
            <w:rPr>
              <w:rFonts w:ascii="Arial" w:hAnsi="Arial" w:cs="Arial"/>
              <w:sz w:val="20"/>
              <w:szCs w:val="20"/>
            </w:rPr>
            <w:t>02.01.2022</w:t>
          </w:r>
        </w:p>
      </w:tc>
    </w:tr>
    <w:tr w:rsidR="00441FF6" w:rsidRPr="00AE7ACA" w14:paraId="7414C255" w14:textId="77777777" w:rsidTr="00BE00E7">
      <w:trPr>
        <w:trHeight w:val="340"/>
      </w:trPr>
      <w:tc>
        <w:tcPr>
          <w:tcW w:w="2376" w:type="dxa"/>
          <w:vMerge/>
        </w:tcPr>
        <w:p w14:paraId="5B6EAB88" w14:textId="77777777" w:rsidR="00441FF6" w:rsidRPr="00AE7ACA" w:rsidRDefault="00441FF6" w:rsidP="00441FF6"/>
      </w:tc>
      <w:tc>
        <w:tcPr>
          <w:tcW w:w="4253" w:type="dxa"/>
          <w:vMerge/>
          <w:shd w:val="clear" w:color="auto" w:fill="auto"/>
          <w:vAlign w:val="center"/>
        </w:tcPr>
        <w:p w14:paraId="3FB7761E" w14:textId="77777777" w:rsidR="00441FF6" w:rsidRPr="00324B7E" w:rsidRDefault="00441FF6" w:rsidP="00441FF6">
          <w:pPr>
            <w:jc w:val="center"/>
            <w:rPr>
              <w:rFonts w:ascii="Arial" w:hAnsi="Arial" w:cs="Arial"/>
              <w:sz w:val="28"/>
              <w:szCs w:val="28"/>
            </w:rPr>
          </w:pPr>
        </w:p>
      </w:tc>
      <w:tc>
        <w:tcPr>
          <w:tcW w:w="1790" w:type="dxa"/>
          <w:shd w:val="clear" w:color="auto" w:fill="auto"/>
          <w:vAlign w:val="center"/>
        </w:tcPr>
        <w:p w14:paraId="7C3B4472" w14:textId="77777777" w:rsidR="00441FF6" w:rsidRPr="00324B7E" w:rsidRDefault="00441FF6" w:rsidP="00441FF6">
          <w:pPr>
            <w:jc w:val="center"/>
            <w:rPr>
              <w:rFonts w:ascii="Arial" w:hAnsi="Arial" w:cs="Arial"/>
              <w:b/>
              <w:sz w:val="20"/>
              <w:szCs w:val="20"/>
            </w:rPr>
          </w:pPr>
          <w:proofErr w:type="spellStart"/>
          <w:r w:rsidRPr="00324B7E">
            <w:rPr>
              <w:rFonts w:ascii="Arial" w:hAnsi="Arial" w:cs="Arial"/>
              <w:b/>
              <w:sz w:val="20"/>
              <w:szCs w:val="20"/>
            </w:rPr>
            <w:t>Rev</w:t>
          </w:r>
          <w:proofErr w:type="spellEnd"/>
          <w:r w:rsidRPr="00324B7E">
            <w:rPr>
              <w:rFonts w:ascii="Arial" w:hAnsi="Arial" w:cs="Arial"/>
              <w:b/>
              <w:sz w:val="20"/>
              <w:szCs w:val="20"/>
            </w:rPr>
            <w:t>. Tarihi</w:t>
          </w:r>
          <w:r>
            <w:rPr>
              <w:rFonts w:ascii="Arial" w:hAnsi="Arial" w:cs="Arial"/>
              <w:b/>
              <w:sz w:val="20"/>
              <w:szCs w:val="20"/>
            </w:rPr>
            <w:t>/No</w:t>
          </w:r>
        </w:p>
      </w:tc>
      <w:tc>
        <w:tcPr>
          <w:tcW w:w="2355" w:type="dxa"/>
          <w:shd w:val="clear" w:color="auto" w:fill="auto"/>
          <w:vAlign w:val="center"/>
        </w:tcPr>
        <w:p w14:paraId="08BDCAAB" w14:textId="77777777" w:rsidR="00441FF6" w:rsidRPr="00324B7E" w:rsidRDefault="00441FF6" w:rsidP="00441FF6">
          <w:pPr>
            <w:jc w:val="center"/>
            <w:rPr>
              <w:rFonts w:ascii="Arial" w:hAnsi="Arial" w:cs="Arial"/>
              <w:sz w:val="20"/>
              <w:szCs w:val="20"/>
            </w:rPr>
          </w:pPr>
        </w:p>
      </w:tc>
    </w:tr>
    <w:tr w:rsidR="00441FF6" w:rsidRPr="00AE7ACA" w14:paraId="64D09D7C" w14:textId="77777777" w:rsidTr="00BE00E7">
      <w:trPr>
        <w:trHeight w:val="327"/>
      </w:trPr>
      <w:tc>
        <w:tcPr>
          <w:tcW w:w="2376" w:type="dxa"/>
          <w:vMerge/>
        </w:tcPr>
        <w:p w14:paraId="5B702A44" w14:textId="77777777" w:rsidR="00441FF6" w:rsidRPr="00AE7ACA" w:rsidRDefault="00441FF6" w:rsidP="00441FF6"/>
      </w:tc>
      <w:tc>
        <w:tcPr>
          <w:tcW w:w="4253" w:type="dxa"/>
          <w:vMerge/>
          <w:shd w:val="clear" w:color="auto" w:fill="auto"/>
          <w:vAlign w:val="center"/>
        </w:tcPr>
        <w:p w14:paraId="7912686A" w14:textId="77777777" w:rsidR="00441FF6" w:rsidRPr="00324B7E" w:rsidRDefault="00441FF6" w:rsidP="00441FF6">
          <w:pPr>
            <w:jc w:val="center"/>
            <w:rPr>
              <w:rFonts w:ascii="Arial" w:hAnsi="Arial" w:cs="Arial"/>
              <w:sz w:val="28"/>
              <w:szCs w:val="28"/>
            </w:rPr>
          </w:pPr>
        </w:p>
      </w:tc>
      <w:tc>
        <w:tcPr>
          <w:tcW w:w="1790" w:type="dxa"/>
          <w:shd w:val="clear" w:color="auto" w:fill="auto"/>
          <w:vAlign w:val="center"/>
        </w:tcPr>
        <w:p w14:paraId="523C920F" w14:textId="77777777" w:rsidR="00441FF6" w:rsidRPr="00324B7E" w:rsidRDefault="00441FF6" w:rsidP="00441FF6">
          <w:pPr>
            <w:jc w:val="center"/>
            <w:rPr>
              <w:rFonts w:ascii="Arial" w:hAnsi="Arial" w:cs="Arial"/>
              <w:b/>
              <w:sz w:val="20"/>
              <w:szCs w:val="20"/>
            </w:rPr>
          </w:pPr>
          <w:r w:rsidRPr="00324B7E">
            <w:rPr>
              <w:rFonts w:ascii="Arial" w:hAnsi="Arial" w:cs="Arial"/>
              <w:b/>
              <w:sz w:val="20"/>
              <w:szCs w:val="20"/>
            </w:rPr>
            <w:t>Sayfa No</w:t>
          </w:r>
        </w:p>
      </w:tc>
      <w:tc>
        <w:tcPr>
          <w:tcW w:w="2355" w:type="dxa"/>
          <w:shd w:val="clear" w:color="auto" w:fill="auto"/>
          <w:vAlign w:val="center"/>
        </w:tcPr>
        <w:sdt>
          <w:sdtPr>
            <w:rPr>
              <w:rStyle w:val="PageNumber"/>
            </w:rPr>
            <w:id w:val="-1666321165"/>
            <w:docPartObj>
              <w:docPartGallery w:val="Page Numbers (Bottom of Page)"/>
              <w:docPartUnique/>
            </w:docPartObj>
          </w:sdtPr>
          <w:sdtContent>
            <w:p w14:paraId="78BC247C" w14:textId="77777777" w:rsidR="00441FF6" w:rsidRPr="00AE5C5A" w:rsidRDefault="00441FF6" w:rsidP="00441FF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/4</w:t>
              </w:r>
            </w:p>
          </w:sdtContent>
        </w:sdt>
      </w:tc>
    </w:tr>
  </w:tbl>
  <w:p w14:paraId="7CDF6CA6" w14:textId="77777777" w:rsidR="00324B7E" w:rsidRDefault="00324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755EE"/>
    <w:multiLevelType w:val="hybridMultilevel"/>
    <w:tmpl w:val="DE46B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9CE1D2B"/>
    <w:multiLevelType w:val="hybridMultilevel"/>
    <w:tmpl w:val="7488F5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29E4E4E"/>
    <w:multiLevelType w:val="hybridMultilevel"/>
    <w:tmpl w:val="7C065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8457F0"/>
    <w:multiLevelType w:val="hybridMultilevel"/>
    <w:tmpl w:val="D9DA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6A6E87"/>
    <w:multiLevelType w:val="hybridMultilevel"/>
    <w:tmpl w:val="FD64B3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647594C"/>
    <w:multiLevelType w:val="hybridMultilevel"/>
    <w:tmpl w:val="07FCC2C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num w:numId="1" w16cid:durableId="1697349563">
    <w:abstractNumId w:val="0"/>
  </w:num>
  <w:num w:numId="2" w16cid:durableId="86778866">
    <w:abstractNumId w:val="1"/>
  </w:num>
  <w:num w:numId="3" w16cid:durableId="2144421040">
    <w:abstractNumId w:val="4"/>
  </w:num>
  <w:num w:numId="4" w16cid:durableId="1144741599">
    <w:abstractNumId w:val="3"/>
  </w:num>
  <w:num w:numId="5" w16cid:durableId="906770816">
    <w:abstractNumId w:val="2"/>
  </w:num>
  <w:num w:numId="6" w16cid:durableId="3124903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00C4"/>
    <w:rsid w:val="00047B69"/>
    <w:rsid w:val="000D7499"/>
    <w:rsid w:val="00116318"/>
    <w:rsid w:val="00324B7E"/>
    <w:rsid w:val="00441FF6"/>
    <w:rsid w:val="00550843"/>
    <w:rsid w:val="00594300"/>
    <w:rsid w:val="005C7214"/>
    <w:rsid w:val="005D1994"/>
    <w:rsid w:val="00686992"/>
    <w:rsid w:val="00907D18"/>
    <w:rsid w:val="009B0C94"/>
    <w:rsid w:val="00B36067"/>
    <w:rsid w:val="00B8056C"/>
    <w:rsid w:val="00C05043"/>
    <w:rsid w:val="00D827C7"/>
    <w:rsid w:val="00F400C4"/>
    <w:rsid w:val="00F922CC"/>
    <w:rsid w:val="00FB1E71"/>
    <w:rsid w:val="00FC65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568DB"/>
  <w15:docId w15:val="{57E1C24A-D319-E54D-9102-44CE6BAB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2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oKlavuzu2">
    <w:name w:val="Tablo Kılavuzu2"/>
    <w:basedOn w:val="TableNormal"/>
    <w:next w:val="TableGrid"/>
    <w:uiPriority w:val="59"/>
    <w:rsid w:val="005C7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C7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7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214"/>
    <w:rPr>
      <w:rFonts w:ascii="Tahoma" w:hAnsi="Tahoma" w:cs="Tahoma"/>
      <w:sz w:val="16"/>
      <w:szCs w:val="16"/>
    </w:rPr>
  </w:style>
  <w:style w:type="paragraph" w:styleId="ListParagraph">
    <w:name w:val="List Paragraph"/>
    <w:basedOn w:val="Normal"/>
    <w:uiPriority w:val="34"/>
    <w:qFormat/>
    <w:rsid w:val="005C7214"/>
    <w:pPr>
      <w:ind w:left="720"/>
      <w:contextualSpacing/>
    </w:pPr>
  </w:style>
  <w:style w:type="table" w:customStyle="1" w:styleId="TabloKlavuzu3">
    <w:name w:val="Tablo Kılavuzu3"/>
    <w:basedOn w:val="TableNormal"/>
    <w:next w:val="TableGrid"/>
    <w:uiPriority w:val="59"/>
    <w:rsid w:val="005C7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4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B7E"/>
  </w:style>
  <w:style w:type="paragraph" w:styleId="Footer">
    <w:name w:val="footer"/>
    <w:basedOn w:val="Normal"/>
    <w:link w:val="FooterChar"/>
    <w:uiPriority w:val="99"/>
    <w:unhideWhenUsed/>
    <w:rsid w:val="0032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B7E"/>
  </w:style>
  <w:style w:type="character" w:styleId="PageNumber">
    <w:name w:val="page number"/>
    <w:basedOn w:val="DefaultParagraphFont"/>
    <w:uiPriority w:val="99"/>
    <w:semiHidden/>
    <w:unhideWhenUsed/>
    <w:rsid w:val="00441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ByHabit</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İlke Çaylı</cp:lastModifiedBy>
  <cp:revision>14</cp:revision>
  <dcterms:created xsi:type="dcterms:W3CDTF">2017-10-19T14:11:00Z</dcterms:created>
  <dcterms:modified xsi:type="dcterms:W3CDTF">2023-05-10T19:50:00Z</dcterms:modified>
</cp:coreProperties>
</file>